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2A0CDDE" w:rsidR="00F92268" w:rsidRPr="00FF66BF" w:rsidRDefault="00103CAD" w:rsidP="00F246C7">
            <w:pPr>
              <w:pStyle w:val="RefTableHeader"/>
            </w:pPr>
            <w:r w:rsidRPr="00103CAD">
              <w:t>118-A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3B10938E" w:rsidR="004B15BB" w:rsidRPr="003609F7" w:rsidRDefault="003609F7" w:rsidP="007E5C16">
      <w:pPr>
        <w:pStyle w:val="Heading1"/>
      </w:pPr>
      <w:r w:rsidRPr="003609F7">
        <w:t>Initial Prior Authorization</w:t>
      </w:r>
      <w:r w:rsidR="0045790D" w:rsidRPr="00BD1CC1">
        <w:br/>
      </w:r>
      <w:proofErr w:type="spellStart"/>
      <w:r w:rsidRPr="003609F7">
        <w:t>Isotretinoins</w:t>
      </w:r>
      <w:proofErr w:type="spellEnd"/>
      <w:r w:rsidRPr="003609F7">
        <w:t xml:space="preserve"> (All Oral)</w:t>
      </w:r>
    </w:p>
    <w:p w14:paraId="78861C92" w14:textId="26872C4C" w:rsidR="00203468" w:rsidRPr="00BD1CC1" w:rsidRDefault="00C64534" w:rsidP="008E0F0D">
      <w:pPr>
        <w:pStyle w:val="Heading2"/>
      </w:pPr>
      <w:r w:rsidRPr="00BD1CC1">
        <w:t xml:space="preserve">Products Referenced by this </w:t>
      </w:r>
      <w:r w:rsidR="00501602" w:rsidRPr="00BD1CC1">
        <w:t>Document</w:t>
      </w:r>
    </w:p>
    <w:p w14:paraId="5455152B" w14:textId="4FA17925"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CB29B2" w:rsidRPr="00CB29B2">
        <w:t>Over</w:t>
      </w:r>
      <w:r w:rsidR="00106A05">
        <w:t>-the-</w:t>
      </w:r>
      <w:r w:rsidR="00CB29B2" w:rsidRPr="00CB29B2">
        <w:t>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49868F0B" w:rsidR="005B4D7C" w:rsidRPr="00BD1CC1" w:rsidRDefault="00582A18">
            <w:pPr>
              <w:pStyle w:val="TableDataUnpadded"/>
            </w:pPr>
            <w:r w:rsidRPr="00582A18">
              <w:t>Absorica</w:t>
            </w:r>
          </w:p>
        </w:tc>
        <w:tc>
          <w:tcPr>
            <w:tcW w:w="5595" w:type="dxa"/>
          </w:tcPr>
          <w:p w14:paraId="1A09710D" w14:textId="3E07D3EA" w:rsidR="005B4D7C" w:rsidRPr="00BD1CC1" w:rsidRDefault="00582A18">
            <w:pPr>
              <w:pStyle w:val="TableDataUnpadded"/>
            </w:pPr>
            <w:r w:rsidRPr="00582A18">
              <w:t>isotretinoin</w:t>
            </w:r>
          </w:p>
        </w:tc>
      </w:tr>
      <w:tr w:rsidR="005B4D7C" w:rsidRPr="00BD1CC1" w14:paraId="25752006" w14:textId="77777777">
        <w:trPr>
          <w:cantSplit/>
        </w:trPr>
        <w:tc>
          <w:tcPr>
            <w:tcW w:w="5265" w:type="dxa"/>
          </w:tcPr>
          <w:p w14:paraId="54B09F66" w14:textId="35A07902" w:rsidR="005B4D7C" w:rsidRPr="00BD1CC1" w:rsidRDefault="00582A18">
            <w:pPr>
              <w:pStyle w:val="TableDataUnpadded"/>
            </w:pPr>
            <w:r w:rsidRPr="00582A18">
              <w:t>Absorica L</w:t>
            </w:r>
            <w:r w:rsidR="007F6A94">
              <w:t>D</w:t>
            </w:r>
          </w:p>
        </w:tc>
        <w:tc>
          <w:tcPr>
            <w:tcW w:w="5595" w:type="dxa"/>
          </w:tcPr>
          <w:p w14:paraId="16DFDEDA" w14:textId="2BF758B4" w:rsidR="005B4D7C" w:rsidRPr="00BD1CC1" w:rsidRDefault="00582A18">
            <w:pPr>
              <w:pStyle w:val="TableDataUnpadded"/>
            </w:pPr>
            <w:r w:rsidRPr="00582A18">
              <w:t>isotretinoin</w:t>
            </w:r>
          </w:p>
        </w:tc>
      </w:tr>
      <w:tr w:rsidR="005B4D7C" w:rsidRPr="00BD1CC1" w14:paraId="1AAF0CF9" w14:textId="77777777">
        <w:trPr>
          <w:cantSplit/>
        </w:trPr>
        <w:tc>
          <w:tcPr>
            <w:tcW w:w="5265" w:type="dxa"/>
          </w:tcPr>
          <w:p w14:paraId="195A3CF4" w14:textId="26716CF3" w:rsidR="005B4D7C" w:rsidRPr="00BD1CC1" w:rsidRDefault="00582A18">
            <w:pPr>
              <w:pStyle w:val="TableDataUnpadded"/>
            </w:pPr>
            <w:r w:rsidRPr="00582A18">
              <w:t>Accutane</w:t>
            </w:r>
          </w:p>
        </w:tc>
        <w:tc>
          <w:tcPr>
            <w:tcW w:w="5595" w:type="dxa"/>
          </w:tcPr>
          <w:p w14:paraId="35E12E04" w14:textId="2950BC06" w:rsidR="005B4D7C" w:rsidRPr="00BD1CC1" w:rsidRDefault="00582A18">
            <w:pPr>
              <w:pStyle w:val="TableDataUnpadded"/>
            </w:pPr>
            <w:r w:rsidRPr="00582A18">
              <w:t>isotretinoin</w:t>
            </w:r>
          </w:p>
        </w:tc>
      </w:tr>
      <w:tr w:rsidR="00582A18" w:rsidRPr="00BD1CC1" w14:paraId="54F43938" w14:textId="77777777">
        <w:trPr>
          <w:cantSplit/>
        </w:trPr>
        <w:tc>
          <w:tcPr>
            <w:tcW w:w="5265" w:type="dxa"/>
          </w:tcPr>
          <w:p w14:paraId="0A8F680B" w14:textId="6F269CB2" w:rsidR="00582A18" w:rsidRPr="00582A18" w:rsidRDefault="00582A18">
            <w:pPr>
              <w:pStyle w:val="TableDataUnpadded"/>
            </w:pPr>
            <w:r w:rsidRPr="00582A18">
              <w:t>Amnesteem</w:t>
            </w:r>
          </w:p>
        </w:tc>
        <w:tc>
          <w:tcPr>
            <w:tcW w:w="5595" w:type="dxa"/>
          </w:tcPr>
          <w:p w14:paraId="3A972F09" w14:textId="01509E66" w:rsidR="00582A18" w:rsidRPr="00582A18" w:rsidRDefault="00582A18">
            <w:pPr>
              <w:pStyle w:val="TableDataUnpadded"/>
            </w:pPr>
            <w:r w:rsidRPr="00582A18">
              <w:t>isotretinoin</w:t>
            </w:r>
          </w:p>
        </w:tc>
      </w:tr>
      <w:tr w:rsidR="00582A18" w:rsidRPr="00BD1CC1" w14:paraId="7CB6D588" w14:textId="77777777">
        <w:trPr>
          <w:cantSplit/>
        </w:trPr>
        <w:tc>
          <w:tcPr>
            <w:tcW w:w="5265" w:type="dxa"/>
          </w:tcPr>
          <w:p w14:paraId="2635A6E7" w14:textId="05AD790F" w:rsidR="00582A18" w:rsidRPr="00582A18" w:rsidRDefault="00582A18">
            <w:pPr>
              <w:pStyle w:val="TableDataUnpadded"/>
            </w:pPr>
            <w:r w:rsidRPr="00582A18">
              <w:t>Claravis</w:t>
            </w:r>
          </w:p>
        </w:tc>
        <w:tc>
          <w:tcPr>
            <w:tcW w:w="5595" w:type="dxa"/>
          </w:tcPr>
          <w:p w14:paraId="7350C588" w14:textId="0CD957E5" w:rsidR="00582A18" w:rsidRPr="00582A18" w:rsidRDefault="00582A18">
            <w:pPr>
              <w:pStyle w:val="TableDataUnpadded"/>
            </w:pPr>
            <w:r w:rsidRPr="00582A18">
              <w:t>isotretinoin</w:t>
            </w:r>
          </w:p>
        </w:tc>
      </w:tr>
      <w:tr w:rsidR="00582A18" w:rsidRPr="00BD1CC1" w14:paraId="1248FCEB" w14:textId="77777777">
        <w:trPr>
          <w:cantSplit/>
        </w:trPr>
        <w:tc>
          <w:tcPr>
            <w:tcW w:w="5265" w:type="dxa"/>
          </w:tcPr>
          <w:p w14:paraId="4F63FBEC" w14:textId="7586671B" w:rsidR="00582A18" w:rsidRPr="00582A18" w:rsidRDefault="00582A18">
            <w:pPr>
              <w:pStyle w:val="TableDataUnpadded"/>
            </w:pPr>
            <w:r w:rsidRPr="00582A18">
              <w:t>Myorisan</w:t>
            </w:r>
          </w:p>
        </w:tc>
        <w:tc>
          <w:tcPr>
            <w:tcW w:w="5595" w:type="dxa"/>
          </w:tcPr>
          <w:p w14:paraId="49C47F00" w14:textId="090D9F72" w:rsidR="00582A18" w:rsidRPr="00582A18" w:rsidRDefault="00582A18">
            <w:pPr>
              <w:pStyle w:val="TableDataUnpadded"/>
            </w:pPr>
            <w:r w:rsidRPr="00582A18">
              <w:t>isotretinoin</w:t>
            </w:r>
          </w:p>
        </w:tc>
      </w:tr>
      <w:tr w:rsidR="00582A18" w:rsidRPr="00BD1CC1" w14:paraId="1E242EF5" w14:textId="77777777">
        <w:trPr>
          <w:cantSplit/>
        </w:trPr>
        <w:tc>
          <w:tcPr>
            <w:tcW w:w="5265" w:type="dxa"/>
          </w:tcPr>
          <w:p w14:paraId="33A37401" w14:textId="4D4E713D" w:rsidR="00582A18" w:rsidRPr="00582A18" w:rsidRDefault="00582A18">
            <w:pPr>
              <w:pStyle w:val="TableDataUnpadded"/>
            </w:pPr>
            <w:r w:rsidRPr="00582A18">
              <w:t>Zenatane</w:t>
            </w:r>
          </w:p>
        </w:tc>
        <w:tc>
          <w:tcPr>
            <w:tcW w:w="5595" w:type="dxa"/>
          </w:tcPr>
          <w:p w14:paraId="20A61299" w14:textId="6AAAA0AE" w:rsidR="00582A18" w:rsidRPr="00582A18" w:rsidRDefault="00582A18">
            <w:pPr>
              <w:pStyle w:val="TableDataUnpadded"/>
            </w:pPr>
            <w:r w:rsidRPr="00582A18">
              <w:t>isotretinoin</w:t>
            </w:r>
          </w:p>
        </w:tc>
      </w:tr>
    </w:tbl>
    <w:p w14:paraId="14CE6108" w14:textId="0BCFB56E" w:rsidR="00FC1AAD" w:rsidRPr="00460F4A" w:rsidRDefault="00ED052F" w:rsidP="00AA2A94">
      <w:pPr>
        <w:pStyle w:val="Heading2"/>
        <w:tabs>
          <w:tab w:val="left" w:pos="9540"/>
        </w:tabs>
      </w:pPr>
      <w:r>
        <w:t>Indications</w:t>
      </w:r>
    </w:p>
    <w:p w14:paraId="134B5687" w14:textId="0E0F3E52" w:rsidR="00ED052F" w:rsidRDefault="00ED052F" w:rsidP="00ED052F">
      <w:pPr>
        <w:pStyle w:val="Heading3"/>
        <w:keepNext w:val="0"/>
      </w:pPr>
      <w:r w:rsidRPr="00BD1CC1">
        <w:t>FDA-approved Indications</w:t>
      </w:r>
    </w:p>
    <w:p w14:paraId="47C28C68" w14:textId="539F358E" w:rsidR="00557F8C" w:rsidRPr="00557F8C" w:rsidRDefault="00557F8C" w:rsidP="00557F8C">
      <w:pPr>
        <w:pStyle w:val="Heading4"/>
      </w:pPr>
      <w:r w:rsidRPr="00557F8C">
        <w:t>Absorica, Absorica LD</w:t>
      </w:r>
    </w:p>
    <w:p w14:paraId="12C71675" w14:textId="77777777" w:rsidR="00F943D2" w:rsidRPr="00F943D2" w:rsidRDefault="00F943D2" w:rsidP="00F943D2">
      <w:pPr>
        <w:pStyle w:val="BodyText"/>
      </w:pPr>
      <w:r w:rsidRPr="00F943D2">
        <w:t>Absorica and Absorica LD are indicated for the treatment of severe recalcitrant nodular acne in non-pregnant patients 12 years of age and older with multiple inflammatory nodules with a diameter of 5 mm or greater. Because of significant adverse reactions associated with its use, Absorica and Absorica LD are reserved for patients with severe nodular acne who are unresponsive to conventional therapy, including systemic antibiotics.</w:t>
      </w:r>
    </w:p>
    <w:p w14:paraId="48085E54" w14:textId="79C3819D" w:rsidR="009A5649" w:rsidRPr="008445A6" w:rsidRDefault="00A30ABB" w:rsidP="00766061">
      <w:pPr>
        <w:pStyle w:val="Heading5"/>
      </w:pPr>
      <w:r>
        <w:lastRenderedPageBreak/>
        <w:t>Limitations of Use</w:t>
      </w:r>
    </w:p>
    <w:p w14:paraId="0417A7BE" w14:textId="580A5C9B" w:rsidR="009A5649" w:rsidRPr="00F943D2" w:rsidRDefault="00F943D2" w:rsidP="00F943D2">
      <w:pPr>
        <w:pStyle w:val="BodyText"/>
      </w:pPr>
      <w:r w:rsidRPr="00F943D2">
        <w:t>If a second course of Absorica/Absorica LD therapy is needed, it is not recommended before a two-month waiting period because the patient’s acne may continue to improve following a 15 to 20-week course of therapy.</w:t>
      </w:r>
    </w:p>
    <w:p w14:paraId="685FCB1D" w14:textId="5D16A7D1" w:rsidR="009A5649" w:rsidRPr="00F943D2" w:rsidRDefault="00F943D2" w:rsidP="00F943D2">
      <w:pPr>
        <w:pStyle w:val="Heading4"/>
      </w:pPr>
      <w:r w:rsidRPr="00F943D2">
        <w:t>Accutane, Amnesteem, Claravis, Myorisan, Zenatane</w:t>
      </w:r>
    </w:p>
    <w:p w14:paraId="130F1EFF" w14:textId="77777777" w:rsidR="00F943D2" w:rsidRPr="00F943D2" w:rsidRDefault="00F943D2" w:rsidP="00F943D2">
      <w:pPr>
        <w:pStyle w:val="BodyText"/>
      </w:pPr>
      <w:r w:rsidRPr="00F943D2">
        <w:t>Isotretinoin is indicated for the treatment of severe recalcitrant nodular acne. Nodules are inflammatory lesions with a diameter of 5 mm or greater. The nodules may become suppurative or hemorrhagic. “Severe,” by definition, means “many” as opposed to “few or several” nodules. Because of significant adverse effects associated with its use, isotretinoin should be reserved for patients with severe nodular acne who are unresponsive to conventional therapy, including systemic antibiotics. In addition, isotretinoin is indicated only for those patients who are not pregnant, because isotretinoin can cause life-threatening birth defects.</w:t>
      </w:r>
    </w:p>
    <w:p w14:paraId="0E14316B" w14:textId="77777777" w:rsidR="00F943D2" w:rsidRDefault="00F943D2" w:rsidP="00F943D2">
      <w:pPr>
        <w:pStyle w:val="BodyText"/>
      </w:pPr>
      <w:r w:rsidRPr="00F943D2">
        <w:t>A single course of therapy for 15 to 20 weeks has been shown to result in complete and prolonged remission of disease in many patients. If a second course of therapy is needed, it should not be initiated until at least 8 weeks after completion of the first course, because experience has shown that patients may continue to improve while off isotretinoin. The optimal interval before retreatment has not been defined for patients who have not completed skeletal growth.</w:t>
      </w:r>
    </w:p>
    <w:p w14:paraId="3069B6B5" w14:textId="66269130" w:rsidR="00F943D2" w:rsidRDefault="00F943D2" w:rsidP="00912DF8">
      <w:pPr>
        <w:pStyle w:val="Heading3"/>
      </w:pPr>
      <w:r w:rsidRPr="00F943D2">
        <w:t>Compendial Uses</w:t>
      </w:r>
    </w:p>
    <w:p w14:paraId="225F1B61" w14:textId="77777777" w:rsidR="00F943D2" w:rsidRPr="005D3C51" w:rsidRDefault="00F943D2" w:rsidP="00F943D2">
      <w:pPr>
        <w:pStyle w:val="BodyText"/>
        <w:rPr>
          <w:vertAlign w:val="superscript"/>
        </w:rPr>
      </w:pPr>
      <w:r w:rsidRPr="00DB0227">
        <w:t>Acne – refractory</w:t>
      </w:r>
      <w:r>
        <w:rPr>
          <w:vertAlign w:val="superscript"/>
        </w:rPr>
        <w:t>9</w:t>
      </w:r>
    </w:p>
    <w:p w14:paraId="44D760D2" w14:textId="77777777" w:rsidR="00296EE9" w:rsidRDefault="00F943D2" w:rsidP="00F943D2">
      <w:pPr>
        <w:pStyle w:val="BodyText"/>
      </w:pPr>
      <w:r w:rsidRPr="005D3C51">
        <w:rPr>
          <w:bCs/>
          <w:iCs/>
        </w:rPr>
        <w:t>Cutaneous T-</w:t>
      </w:r>
      <w:r>
        <w:rPr>
          <w:bCs/>
          <w:iCs/>
        </w:rPr>
        <w:t>C</w:t>
      </w:r>
      <w:r w:rsidRPr="005D3C51">
        <w:rPr>
          <w:bCs/>
          <w:iCs/>
        </w:rPr>
        <w:t>ell Lymphoma</w:t>
      </w:r>
      <w:r w:rsidRPr="005D3C51">
        <w:t xml:space="preserve"> (CTCL) (e.g., mycosis fungoides, Sézary syndrome)</w:t>
      </w:r>
      <w:r>
        <w:rPr>
          <w:vertAlign w:val="superscript"/>
        </w:rPr>
        <w:t>7</w:t>
      </w:r>
    </w:p>
    <w:p w14:paraId="597EA6E8" w14:textId="16834414" w:rsidR="00F943D2" w:rsidRPr="005D3C51" w:rsidRDefault="00F943D2" w:rsidP="00F943D2">
      <w:pPr>
        <w:pStyle w:val="BodyText"/>
        <w:rPr>
          <w:vertAlign w:val="superscript"/>
        </w:rPr>
      </w:pPr>
      <w:r w:rsidRPr="005D3C51">
        <w:t>Keratosis follicularis (Darier Disease) – severe</w:t>
      </w:r>
      <w:r>
        <w:rPr>
          <w:vertAlign w:val="superscript"/>
        </w:rPr>
        <w:t>9</w:t>
      </w:r>
    </w:p>
    <w:p w14:paraId="6AD5FFC0" w14:textId="77777777" w:rsidR="00F943D2" w:rsidRPr="005D3C51" w:rsidRDefault="00F943D2" w:rsidP="00F943D2">
      <w:pPr>
        <w:pStyle w:val="BodyText"/>
        <w:rPr>
          <w:vertAlign w:val="superscript"/>
        </w:rPr>
      </w:pPr>
      <w:r w:rsidRPr="00C636E1">
        <w:t xml:space="preserve">Lamellar </w:t>
      </w:r>
      <w:r w:rsidRPr="00C636E1">
        <w:rPr>
          <w:lang w:val="en"/>
        </w:rPr>
        <w:t>ichthyosis</w:t>
      </w:r>
      <w:r w:rsidRPr="00C636E1">
        <w:t xml:space="preserve"> – severe skin involvement</w:t>
      </w:r>
      <w:r w:rsidRPr="00C636E1">
        <w:rPr>
          <w:vertAlign w:val="superscript"/>
        </w:rPr>
        <w:t>7</w:t>
      </w:r>
    </w:p>
    <w:p w14:paraId="2EC1510D" w14:textId="77777777" w:rsidR="00F943D2" w:rsidRPr="005D3C51" w:rsidRDefault="00F943D2" w:rsidP="00F943D2">
      <w:pPr>
        <w:pStyle w:val="BodyText"/>
        <w:rPr>
          <w:vertAlign w:val="superscript"/>
        </w:rPr>
      </w:pPr>
      <w:r w:rsidRPr="00DB0227">
        <w:t>Neuroblastoma</w:t>
      </w:r>
      <w:r>
        <w:rPr>
          <w:vertAlign w:val="superscript"/>
        </w:rPr>
        <w:t>9</w:t>
      </w:r>
    </w:p>
    <w:p w14:paraId="494F3391" w14:textId="77777777" w:rsidR="00F943D2" w:rsidRPr="005D3C51" w:rsidRDefault="00F943D2" w:rsidP="00F943D2">
      <w:pPr>
        <w:pStyle w:val="BodyText"/>
        <w:rPr>
          <w:vertAlign w:val="superscript"/>
        </w:rPr>
      </w:pPr>
      <w:r w:rsidRPr="00C636E1">
        <w:t>Pityriasis rubra pilaris</w:t>
      </w:r>
      <w:r w:rsidRPr="00C636E1">
        <w:rPr>
          <w:vertAlign w:val="superscript"/>
        </w:rPr>
        <w:t>7</w:t>
      </w:r>
    </w:p>
    <w:p w14:paraId="7E7A2554" w14:textId="77777777" w:rsidR="00F943D2" w:rsidRPr="005D3C51" w:rsidRDefault="00F943D2" w:rsidP="00F943D2">
      <w:pPr>
        <w:pStyle w:val="BodyText"/>
        <w:rPr>
          <w:vertAlign w:val="superscript"/>
        </w:rPr>
      </w:pPr>
      <w:r w:rsidRPr="00DB0227">
        <w:t>Rosacea – severe refractory</w:t>
      </w:r>
      <w:r>
        <w:rPr>
          <w:vertAlign w:val="superscript"/>
        </w:rPr>
        <w:t>9</w:t>
      </w:r>
    </w:p>
    <w:p w14:paraId="2EF6F7AF" w14:textId="77777777" w:rsidR="00F943D2" w:rsidRPr="005D3C51" w:rsidRDefault="00F943D2" w:rsidP="00F943D2">
      <w:pPr>
        <w:pStyle w:val="BodyText"/>
        <w:rPr>
          <w:vertAlign w:val="superscript"/>
        </w:rPr>
      </w:pPr>
      <w:r w:rsidRPr="005D3C51">
        <w:t>Squamous Cell Cancers – to reduce the development of precancers and skin cancers in high risk patients</w:t>
      </w:r>
      <w:r>
        <w:rPr>
          <w:vertAlign w:val="superscript"/>
        </w:rPr>
        <w:t>9</w:t>
      </w:r>
    </w:p>
    <w:p w14:paraId="3FD5D0B1" w14:textId="77777777" w:rsidR="00296EE9" w:rsidRDefault="00F943D2" w:rsidP="00F943D2">
      <w:pPr>
        <w:pStyle w:val="BodyText"/>
        <w:rPr>
          <w:bCs/>
          <w:iCs/>
        </w:rPr>
      </w:pPr>
      <w:r w:rsidRPr="005D3C51">
        <w:rPr>
          <w:bCs/>
          <w:iCs/>
        </w:rPr>
        <w:t>Transient acantholytic dermatosis (Grover</w:t>
      </w:r>
      <w:r>
        <w:rPr>
          <w:bCs/>
          <w:iCs/>
        </w:rPr>
        <w:t>’s</w:t>
      </w:r>
      <w:r w:rsidRPr="005D3C51">
        <w:rPr>
          <w:bCs/>
          <w:iCs/>
        </w:rPr>
        <w:t xml:space="preserve"> Disease) – severe</w:t>
      </w:r>
      <w:r>
        <w:rPr>
          <w:bCs/>
          <w:iCs/>
          <w:vertAlign w:val="superscript"/>
        </w:rPr>
        <w:t>9</w:t>
      </w:r>
    </w:p>
    <w:p w14:paraId="50A38FBA" w14:textId="15AA42EA" w:rsidR="00FE0C63" w:rsidRPr="005A0FF6" w:rsidRDefault="00685107" w:rsidP="00351DBB">
      <w:pPr>
        <w:pStyle w:val="Heading2"/>
        <w:keepNext w:val="0"/>
        <w:widowControl w:val="0"/>
      </w:pPr>
      <w:r w:rsidRPr="005A0FF6">
        <w:t>Coverage Criteria</w:t>
      </w:r>
    </w:p>
    <w:p w14:paraId="45CB60DB" w14:textId="2AF3E587" w:rsidR="005A0FF6" w:rsidRDefault="005A0FF6" w:rsidP="00351DBB">
      <w:pPr>
        <w:pStyle w:val="Heading3"/>
        <w:keepNext w:val="0"/>
        <w:keepLines w:val="0"/>
        <w:widowControl w:val="0"/>
      </w:pPr>
      <w:r w:rsidRPr="005A0FF6">
        <w:t>Acne Vulgaris, Rosacea</w:t>
      </w:r>
    </w:p>
    <w:p w14:paraId="098E8F27" w14:textId="6296A1B2" w:rsidR="00FE0C63" w:rsidRPr="005A0FF6" w:rsidRDefault="005A0FF6" w:rsidP="005A0FF6">
      <w:pPr>
        <w:pStyle w:val="BodyText"/>
      </w:pPr>
      <w:r w:rsidRPr="005A0FF6">
        <w:t xml:space="preserve">Authorization may be granted when the patient has a diagnosis of severe recalcitrant nodular acne vulgaris, refractory acne vulgaris, </w:t>
      </w:r>
      <w:r w:rsidRPr="00BD6795">
        <w:t>OR</w:t>
      </w:r>
      <w:r w:rsidRPr="005A0FF6">
        <w:t xml:space="preserve"> severe refractory rosacea when </w:t>
      </w:r>
      <w:proofErr w:type="gramStart"/>
      <w:r w:rsidRPr="005A0FF6">
        <w:t>A</w:t>
      </w:r>
      <w:r w:rsidR="007F6A94">
        <w:t>LL</w:t>
      </w:r>
      <w:r w:rsidRPr="005A0FF6">
        <w:t xml:space="preserve"> of</w:t>
      </w:r>
      <w:proofErr w:type="gramEnd"/>
      <w:r w:rsidRPr="005A0FF6">
        <w:t xml:space="preserve"> the following criteria are met:</w:t>
      </w:r>
    </w:p>
    <w:p w14:paraId="30D4E262" w14:textId="6C943EF6" w:rsidR="00D0165F" w:rsidRPr="00D0165F" w:rsidRDefault="00D0165F" w:rsidP="00D0165F">
      <w:pPr>
        <w:pStyle w:val="ListParagraph"/>
      </w:pPr>
      <w:r w:rsidRPr="00D0165F">
        <w:t xml:space="preserve">The patient has tried and had an inadequate treatment response to </w:t>
      </w:r>
      <w:r w:rsidR="00103CAD" w:rsidRPr="00D0165F">
        <w:t>A</w:t>
      </w:r>
      <w:r w:rsidR="00292B5C">
        <w:t>NY</w:t>
      </w:r>
      <w:r w:rsidRPr="00D0165F">
        <w:t xml:space="preserve"> topical acne product AND an oral antibiotic</w:t>
      </w:r>
      <w:bookmarkStart w:id="0" w:name="OLE_LINK28"/>
      <w:r w:rsidRPr="00D0165F">
        <w:t xml:space="preserve"> [Note: Topical products include salicylic acid, benzoyl peroxide, azelaic acid, adapalene, tretinoin, tazarotene, clindamycin, erythromycin, or metronidazole for rosacea. Oral antibiotics include minocycline, doxycycline, tetracycline, erythromycin, trimethoprim-sulfamethoxazole, trimethoprim, azithromycin.]</w:t>
      </w:r>
    </w:p>
    <w:p w14:paraId="71FD8504" w14:textId="4A378E5D" w:rsidR="00D0165F" w:rsidRPr="00D0165F" w:rsidRDefault="00D0165F" w:rsidP="00D0165F">
      <w:pPr>
        <w:pStyle w:val="ListParagraph"/>
      </w:pPr>
      <w:bookmarkStart w:id="1" w:name="OLE_LINK29"/>
      <w:bookmarkEnd w:id="0"/>
      <w:r w:rsidRPr="00D0165F">
        <w:t>Treatment will be limited to 40 weeks (2 courses) or less A</w:t>
      </w:r>
      <w:r w:rsidR="00292B5C">
        <w:t>ND</w:t>
      </w:r>
      <w:r w:rsidRPr="00D0165F">
        <w:t xml:space="preserve"> with at least 8 weeks between each course</w:t>
      </w:r>
    </w:p>
    <w:bookmarkEnd w:id="1"/>
    <w:p w14:paraId="0E2BC541" w14:textId="77777777" w:rsidR="00D0165F" w:rsidRPr="00D0165F" w:rsidRDefault="00D0165F" w:rsidP="00D0165F">
      <w:pPr>
        <w:pStyle w:val="Heading3"/>
      </w:pPr>
      <w:r w:rsidRPr="00D0165F">
        <w:t>Neuroblastoma, Cutaneous T-cell Lymphoma (CTCL), Squamous Cell Cancers, Grover’s Disease, Darier Disease, Lamellar Ichthyosis, Pityriasis Rubra Pilaris</w:t>
      </w:r>
    </w:p>
    <w:p w14:paraId="3F553A3F" w14:textId="77777777" w:rsidR="00D0165F" w:rsidRPr="003916B0" w:rsidRDefault="00D0165F" w:rsidP="00D0165F">
      <w:pPr>
        <w:pStyle w:val="BodyText"/>
        <w:rPr>
          <w:b/>
          <w:u w:val="single"/>
        </w:rPr>
      </w:pPr>
      <w:bookmarkStart w:id="2" w:name="OLE_LINK30"/>
      <w:r w:rsidRPr="001720B6">
        <w:t xml:space="preserve">Authorization may be granted when the patient has a diagnosis of </w:t>
      </w:r>
      <w:bookmarkStart w:id="3" w:name="OLE_LINK41"/>
      <w:r w:rsidRPr="001720B6">
        <w:t>neuroblastoma, cutaneous T-cell lymphoma (CTCL) (e.g., mycosis fungoides, Sézary syndrome), is at high risk for developing skin cancer (squamous cell cancers), transient acantholytic dermatosis</w:t>
      </w:r>
      <w:r w:rsidRPr="003916B0">
        <w:t xml:space="preserve"> (Grover’s Disease), keratosis follicularis (Darier Disease), lamellar ichthyosis, </w:t>
      </w:r>
      <w:r>
        <w:t>OR</w:t>
      </w:r>
      <w:r w:rsidRPr="003916B0">
        <w:t xml:space="preserve"> pityriasis rubra pilaris</w:t>
      </w:r>
      <w:bookmarkEnd w:id="3"/>
    </w:p>
    <w:bookmarkEnd w:id="2"/>
    <w:p w14:paraId="1F387316" w14:textId="2591B0C2" w:rsidR="00183B46" w:rsidRPr="006307D3" w:rsidRDefault="00183B46" w:rsidP="00183B46">
      <w:pPr>
        <w:pStyle w:val="Heading2"/>
      </w:pPr>
      <w:r>
        <w:t>Duration of Approval (DOA)</w:t>
      </w:r>
    </w:p>
    <w:p w14:paraId="292F7B52" w14:textId="77777777" w:rsidR="0079106C" w:rsidRPr="0079106C" w:rsidRDefault="0079106C" w:rsidP="00351DBB">
      <w:pPr>
        <w:pStyle w:val="ListParagraph"/>
        <w:numPr>
          <w:ilvl w:val="0"/>
          <w:numId w:val="32"/>
        </w:numPr>
      </w:pPr>
      <w:r w:rsidRPr="0079106C">
        <w:t>118-A: DOA 12 months</w:t>
      </w:r>
    </w:p>
    <w:p w14:paraId="10DA4309" w14:textId="44AC42A2" w:rsidR="00FF66BF" w:rsidRPr="008D1B34" w:rsidRDefault="00FF66BF" w:rsidP="00FF66BF">
      <w:pPr>
        <w:pStyle w:val="Heading2"/>
      </w:pPr>
      <w:bookmarkStart w:id="4" w:name="S2.2"/>
      <w:bookmarkStart w:id="5" w:name="section-2.2"/>
      <w:bookmarkStart w:id="6" w:name="section-2.2.1"/>
      <w:bookmarkStart w:id="7" w:name="section-2.2.2"/>
      <w:bookmarkEnd w:id="4"/>
      <w:bookmarkEnd w:id="5"/>
      <w:bookmarkEnd w:id="6"/>
      <w:bookmarkEnd w:id="7"/>
      <w:r w:rsidRPr="008D1B34">
        <w:t>References</w:t>
      </w:r>
    </w:p>
    <w:p w14:paraId="79A32BA9" w14:textId="77777777" w:rsidR="00296EE9" w:rsidRDefault="0079106C" w:rsidP="0079106C">
      <w:pPr>
        <w:pStyle w:val="ReferenceOrdered"/>
      </w:pPr>
      <w:r w:rsidRPr="0079106C">
        <w:t>Absorica, Absorica LD [package insert]. Cranbury, NJ: Sun Pharmaceutical Industries, Inc.; June 2023.</w:t>
      </w:r>
    </w:p>
    <w:p w14:paraId="5326B958" w14:textId="08B3ED4C" w:rsidR="0079106C" w:rsidRPr="0079106C" w:rsidRDefault="0079106C" w:rsidP="0079106C">
      <w:pPr>
        <w:pStyle w:val="ReferenceOrdered"/>
      </w:pPr>
      <w:r w:rsidRPr="0079106C">
        <w:t>Accutane [package insert]. Scottsdale, AZ: JG Pharma Inc.; December 2023.</w:t>
      </w:r>
    </w:p>
    <w:p w14:paraId="0FA13E49" w14:textId="77777777" w:rsidR="0079106C" w:rsidRPr="0079106C" w:rsidRDefault="0079106C" w:rsidP="0079106C">
      <w:pPr>
        <w:pStyle w:val="ReferenceOrdered"/>
      </w:pPr>
      <w:r w:rsidRPr="0079106C">
        <w:t>Amnesteem [package insert]. Morgantown, WV: Mylan Pharmaceuticals Inc.; August 2022.</w:t>
      </w:r>
    </w:p>
    <w:p w14:paraId="37DF3DC7" w14:textId="77777777" w:rsidR="0079106C" w:rsidRPr="0079106C" w:rsidRDefault="0079106C" w:rsidP="0079106C">
      <w:pPr>
        <w:pStyle w:val="ReferenceOrdered"/>
      </w:pPr>
      <w:r w:rsidRPr="0079106C">
        <w:t>Claravis [package insert]. North Wales, PA: Teva Pharmaceuticals USA, Inc.; August 2022.</w:t>
      </w:r>
    </w:p>
    <w:p w14:paraId="0A51CB2C" w14:textId="77777777" w:rsidR="0079106C" w:rsidRPr="0079106C" w:rsidRDefault="0079106C" w:rsidP="0079106C">
      <w:pPr>
        <w:pStyle w:val="ReferenceOrdered"/>
      </w:pPr>
      <w:r w:rsidRPr="0079106C">
        <w:t>Myorisan [package insert]. Gurnee, IL: Akorn Operating Company LLC.; December 2022.</w:t>
      </w:r>
    </w:p>
    <w:p w14:paraId="35A524AD" w14:textId="77777777" w:rsidR="00296EE9" w:rsidRDefault="0079106C" w:rsidP="0079106C">
      <w:pPr>
        <w:pStyle w:val="ReferenceOrdered"/>
      </w:pPr>
      <w:r w:rsidRPr="0079106C">
        <w:t>Zenatane [package insert]. Princeton, NJ: Dr. Reddy’s Laboratories, Inc.; September 2022.</w:t>
      </w:r>
    </w:p>
    <w:p w14:paraId="3E37FB1D" w14:textId="03CEF54C" w:rsidR="0079106C" w:rsidRPr="0079106C" w:rsidRDefault="0079106C" w:rsidP="0079106C">
      <w:pPr>
        <w:pStyle w:val="ReferenceOrdered"/>
      </w:pPr>
      <w:r w:rsidRPr="0079106C">
        <w:t>Lexicomp Online, AHFS DI (Adult and Pediatric) Online. Waltham, MA: UpToDate, Inc.; 2024. https://online.lexi.com. Accessed July 3, 2024.</w:t>
      </w:r>
    </w:p>
    <w:p w14:paraId="04A94A4D" w14:textId="77777777" w:rsidR="0079106C" w:rsidRPr="0079106C" w:rsidRDefault="0079106C" w:rsidP="0079106C">
      <w:pPr>
        <w:pStyle w:val="ReferenceOrdered"/>
      </w:pPr>
      <w:r w:rsidRPr="0079106C">
        <w:t>Lexicomp Online, Lexi-Drugs Online. Waltham, MA: UpToDate, Inc.; 2024. https://online.lexi.com. Accessed July 3, 2024.</w:t>
      </w:r>
    </w:p>
    <w:p w14:paraId="6D941960" w14:textId="77777777" w:rsidR="0079106C" w:rsidRPr="0079106C" w:rsidRDefault="0079106C" w:rsidP="0079106C">
      <w:pPr>
        <w:pStyle w:val="ReferenceOrdered"/>
      </w:pPr>
      <w:r w:rsidRPr="0079106C">
        <w:t>Micromedex® (electronic version). Merative, Ann Arbor, Michigan, USA. Available at: https://www.micromedexsolutions.com/ (</w:t>
      </w:r>
      <w:r w:rsidRPr="003E20A2">
        <w:rPr>
          <w:i/>
          <w:iCs/>
        </w:rPr>
        <w:t>cited: 07/02/2024</w:t>
      </w:r>
      <w:r w:rsidRPr="0079106C">
        <w:t>).</w:t>
      </w:r>
    </w:p>
    <w:p w14:paraId="659E7AEC" w14:textId="77777777" w:rsidR="0079106C" w:rsidRPr="0079106C" w:rsidRDefault="0079106C" w:rsidP="0079106C">
      <w:pPr>
        <w:pStyle w:val="ReferenceOrdered"/>
      </w:pPr>
      <w:bookmarkStart w:id="8" w:name="_Hlk77754023"/>
      <w:bookmarkStart w:id="9" w:name="OLE_LINK8"/>
      <w:r w:rsidRPr="00912DF8">
        <w:rPr>
          <w:lang w:val="fr-FR"/>
        </w:rPr>
        <w:t xml:space="preserve">Reynolds RV, Yeung H, Cheng CE, et al. </w:t>
      </w:r>
      <w:bookmarkStart w:id="10" w:name="OLE_LINK38"/>
      <w:r w:rsidRPr="0079106C">
        <w:t>Guidelines of care for the management of acne vulgaris</w:t>
      </w:r>
      <w:bookmarkEnd w:id="10"/>
      <w:r w:rsidRPr="0079106C">
        <w:t xml:space="preserve">. </w:t>
      </w:r>
      <w:r w:rsidRPr="00F0309B">
        <w:rPr>
          <w:i/>
          <w:iCs/>
        </w:rPr>
        <w:t xml:space="preserve">J Am </w:t>
      </w:r>
      <w:proofErr w:type="spellStart"/>
      <w:r w:rsidRPr="00F0309B">
        <w:rPr>
          <w:i/>
          <w:iCs/>
        </w:rPr>
        <w:t>Acad</w:t>
      </w:r>
      <w:proofErr w:type="spellEnd"/>
      <w:r w:rsidRPr="00F0309B">
        <w:rPr>
          <w:i/>
          <w:iCs/>
        </w:rPr>
        <w:t xml:space="preserve"> Dermatol.</w:t>
      </w:r>
      <w:r w:rsidRPr="0079106C">
        <w:t xml:space="preserve"> 2024;90(5):1006.e1-1006.e30.</w:t>
      </w:r>
      <w:bookmarkEnd w:id="8"/>
    </w:p>
    <w:bookmarkEnd w:id="9"/>
    <w:p w14:paraId="0BDEA41A" w14:textId="77777777" w:rsidR="0079106C" w:rsidRPr="0079106C" w:rsidRDefault="0079106C" w:rsidP="0079106C">
      <w:pPr>
        <w:pStyle w:val="ReferenceOrdered"/>
      </w:pPr>
      <w:r w:rsidRPr="0079106C">
        <w:t xml:space="preserve">Rosacea. National Institute of Arthritis and Musculoskeletal and Skin Diseases. </w:t>
      </w:r>
      <w:bookmarkStart w:id="11" w:name="OLE_LINK3"/>
      <w:r w:rsidRPr="0079106C">
        <w:t>http://www.niams.nih.gov/Health_Info/Rosacea/default.asp#6</w:t>
      </w:r>
      <w:bookmarkEnd w:id="11"/>
      <w:r w:rsidRPr="0079106C">
        <w:t>. Accessed July 3, 2024.</w:t>
      </w:r>
    </w:p>
    <w:p w14:paraId="774A304A" w14:textId="77777777" w:rsidR="0079106C" w:rsidRPr="0079106C" w:rsidRDefault="0079106C" w:rsidP="0079106C">
      <w:pPr>
        <w:pStyle w:val="ReferenceOrdered"/>
      </w:pPr>
      <w:r w:rsidRPr="0079106C">
        <w:t xml:space="preserve">Granulomatous Rosacea. </w:t>
      </w:r>
      <w:bookmarkStart w:id="12" w:name="OLE_LINK4"/>
      <w:r w:rsidRPr="0079106C">
        <w:t xml:space="preserve">National Center for Advancing Translational Sciences: Genetic and Rare Diseases Information Center. </w:t>
      </w:r>
      <w:bookmarkStart w:id="13" w:name="OLE_LINK19"/>
      <w:bookmarkEnd w:id="12"/>
      <w:r w:rsidRPr="0079106C">
        <w:t xml:space="preserve">https://rarediseases.info.nih.gov/diseases/6548/granulomatous-rosacea. </w:t>
      </w:r>
      <w:bookmarkEnd w:id="13"/>
      <w:r w:rsidRPr="0079106C">
        <w:t>Accessed July 3, 2024.</w:t>
      </w:r>
    </w:p>
    <w:p w14:paraId="742B8595" w14:textId="77777777" w:rsidR="0079106C" w:rsidRPr="0079106C" w:rsidRDefault="0079106C" w:rsidP="0079106C">
      <w:pPr>
        <w:pStyle w:val="ReferenceOrdered"/>
      </w:pPr>
      <w:r w:rsidRPr="00912DF8">
        <w:rPr>
          <w:lang w:val="it-IT"/>
        </w:rPr>
        <w:t xml:space="preserve">Del Rosso JQ, Thiboutot D, Gallo R, et al. </w:t>
      </w:r>
      <w:bookmarkStart w:id="14" w:name="OLE_LINK5"/>
      <w:r w:rsidRPr="0079106C">
        <w:t xml:space="preserve">Consensus recommendations from the </w:t>
      </w:r>
      <w:proofErr w:type="spellStart"/>
      <w:r w:rsidRPr="0079106C">
        <w:t>american</w:t>
      </w:r>
      <w:proofErr w:type="spellEnd"/>
      <w:r w:rsidRPr="0079106C">
        <w:t xml:space="preserve"> acne &amp; rosacea society on the management of rosacea, Part 3: A status report on systemic therapies</w:t>
      </w:r>
      <w:bookmarkEnd w:id="14"/>
      <w:r w:rsidRPr="0079106C">
        <w:t>. CUTIS. 2014;93:134-38.</w:t>
      </w:r>
    </w:p>
    <w:p w14:paraId="44B0AB53" w14:textId="77777777" w:rsidR="0079106C" w:rsidRPr="0079106C" w:rsidRDefault="0079106C" w:rsidP="0079106C">
      <w:pPr>
        <w:pStyle w:val="ReferenceOrdered"/>
      </w:pPr>
      <w:r w:rsidRPr="0079106C">
        <w:t xml:space="preserve">Neuroblastoma Treatment. National Cancer Institute at the National Institute of Health. </w:t>
      </w:r>
      <w:bookmarkStart w:id="15" w:name="OLE_LINK6"/>
      <w:r w:rsidRPr="0079106C">
        <w:t>https://</w:t>
      </w:r>
      <w:bookmarkStart w:id="16" w:name="OLE_LINK21"/>
      <w:r w:rsidRPr="0079106C">
        <w:t>www.cancer.gov/types/neuroblastoma/hp/neuroblastoma-treatment-pdq#_707_toc</w:t>
      </w:r>
      <w:bookmarkEnd w:id="15"/>
      <w:bookmarkEnd w:id="16"/>
      <w:r w:rsidRPr="0079106C">
        <w:t>. Accessed July 3, 2024.</w:t>
      </w:r>
    </w:p>
    <w:p w14:paraId="48A97548" w14:textId="77777777" w:rsidR="0079106C" w:rsidRPr="0079106C" w:rsidRDefault="0079106C" w:rsidP="0079106C">
      <w:pPr>
        <w:pStyle w:val="ReferenceOrdered"/>
      </w:pPr>
      <w:r w:rsidRPr="0079106C">
        <w:t>National Comprehensive Cancer Network. Clinical Practice Guidelines in Oncology. Squamous Cell Skin Cancer. Version 1.2024. November 9, 2023. Available at: www.NCCN.org. Accessed July 3, 2024.</w:t>
      </w:r>
    </w:p>
    <w:p w14:paraId="5A100FE7" w14:textId="0C1ADFD5" w:rsidR="00411EB4" w:rsidRDefault="0079106C" w:rsidP="0079106C">
      <w:pPr>
        <w:pStyle w:val="ReferenceOrdered"/>
      </w:pPr>
      <w:bookmarkStart w:id="17" w:name="OLE_LINK23"/>
      <w:r w:rsidRPr="0079106C">
        <w:t>National Comprehensive Cancer Network. Clinical Practice Guidelines in Oncology. Primary Cutaneous Lymphomas</w:t>
      </w:r>
      <w:bookmarkEnd w:id="17"/>
      <w:r w:rsidRPr="0079106C">
        <w:t>.</w:t>
      </w:r>
      <w:r w:rsidR="00296EE9">
        <w:t xml:space="preserve"> </w:t>
      </w:r>
      <w:r w:rsidRPr="0079106C">
        <w:t>Version 2.2024. May 6, 2024. Available at: www.NCCN.org. Accessed July 3, 2024.</w:t>
      </w:r>
    </w:p>
    <w:p w14:paraId="65F9585F" w14:textId="77777777" w:rsidR="0079106C" w:rsidRPr="0079106C" w:rsidRDefault="0079106C" w:rsidP="0079106C">
      <w:pPr>
        <w:pStyle w:val="ReferenceOrdered"/>
      </w:pPr>
      <w:r w:rsidRPr="0079106C">
        <w:t xml:space="preserve">NIH National Center for Advancing Translational Sciences. </w:t>
      </w:r>
      <w:bookmarkStart w:id="18" w:name="OLE_LINK9"/>
      <w:r w:rsidRPr="0079106C">
        <w:t>Grover’s Disease.</w:t>
      </w:r>
      <w:bookmarkStart w:id="19" w:name="OLE_LINK11"/>
      <w:r w:rsidRPr="0079106C">
        <w:t xml:space="preserve"> </w:t>
      </w:r>
      <w:bookmarkStart w:id="20" w:name="OLE_LINK24"/>
      <w:r w:rsidRPr="0079106C">
        <w:t>https://rarediseases.info.nih.gov/diseases/6551/grovers-disease</w:t>
      </w:r>
      <w:bookmarkEnd w:id="18"/>
      <w:bookmarkEnd w:id="20"/>
      <w:r w:rsidRPr="0079106C">
        <w:t xml:space="preserve">. </w:t>
      </w:r>
      <w:bookmarkEnd w:id="19"/>
      <w:r w:rsidRPr="0079106C">
        <w:t>Accessed July 3, 2024.</w:t>
      </w:r>
    </w:p>
    <w:p w14:paraId="29C019D1" w14:textId="77777777" w:rsidR="0079106C" w:rsidRPr="0079106C" w:rsidRDefault="0079106C" w:rsidP="0079106C">
      <w:pPr>
        <w:pStyle w:val="ReferenceOrdered"/>
      </w:pPr>
      <w:r w:rsidRPr="0079106C">
        <w:t>American Osteopathic College of Dermatology. Grover's Disease. http://www.aocd.org/?page=GroversDisease. Accessed July 3, 2024.</w:t>
      </w:r>
    </w:p>
    <w:p w14:paraId="49AB3094" w14:textId="1FC76567" w:rsidR="0079106C" w:rsidRPr="0079106C" w:rsidRDefault="0079106C" w:rsidP="0079106C">
      <w:pPr>
        <w:pStyle w:val="ReferenceOrdered"/>
      </w:pPr>
      <w:r w:rsidRPr="0079106C">
        <w:t>NIH National Center for Advancing Translational Sciences. Genetic and Rare Diseases Information Center.</w:t>
      </w:r>
      <w:r w:rsidR="00296EE9">
        <w:t xml:space="preserve"> </w:t>
      </w:r>
      <w:r w:rsidRPr="0079106C">
        <w:t xml:space="preserve">Darier disease. </w:t>
      </w:r>
      <w:bookmarkStart w:id="21" w:name="OLE_LINK13"/>
      <w:r w:rsidRPr="0079106C">
        <w:t>https://rarediseases.info.nih.gov/diseases/6243/darier-disease</w:t>
      </w:r>
      <w:bookmarkEnd w:id="21"/>
      <w:r w:rsidRPr="0079106C">
        <w:t>. Accessed July 3, 2024.</w:t>
      </w:r>
    </w:p>
    <w:p w14:paraId="47738CCF" w14:textId="77777777" w:rsidR="0079106C" w:rsidRPr="0079106C" w:rsidRDefault="0079106C" w:rsidP="0079106C">
      <w:pPr>
        <w:pStyle w:val="ReferenceOrdered"/>
      </w:pPr>
      <w:r w:rsidRPr="0079106C">
        <w:t xml:space="preserve">Darier Disease. American Osteopathic College of Dermatology. </w:t>
      </w:r>
      <w:bookmarkStart w:id="22" w:name="OLE_LINK14"/>
      <w:bookmarkStart w:id="23" w:name="OLE_LINK15"/>
      <w:r w:rsidRPr="0079106C">
        <w:t>http://www.aocd.org/skin/dermatologic_diseases/darier_disease.html</w:t>
      </w:r>
      <w:bookmarkEnd w:id="22"/>
      <w:bookmarkEnd w:id="23"/>
      <w:r w:rsidRPr="0079106C">
        <w:t>. Accessed July 3, 2024.</w:t>
      </w:r>
    </w:p>
    <w:p w14:paraId="36EDC262" w14:textId="27E00F5A" w:rsidR="0079106C" w:rsidRPr="0079106C" w:rsidRDefault="0079106C" w:rsidP="0079106C">
      <w:pPr>
        <w:pStyle w:val="ReferenceOrdered"/>
      </w:pPr>
      <w:r w:rsidRPr="0079106C">
        <w:t>NIH National Center for Advancing Translational Sciences. Genetic and Rare Diseases Information Center.</w:t>
      </w:r>
      <w:r w:rsidR="00296EE9">
        <w:t xml:space="preserve"> </w:t>
      </w:r>
      <w:r w:rsidRPr="00912DF8">
        <w:rPr>
          <w:lang w:val="sv-SE"/>
        </w:rPr>
        <w:t xml:space="preserve">Lamellar ichthyosis. </w:t>
      </w:r>
      <w:bookmarkStart w:id="24" w:name="OLE_LINK16"/>
      <w:r w:rsidRPr="00912DF8">
        <w:rPr>
          <w:lang w:val="sv-SE"/>
        </w:rPr>
        <w:t>https://rarediseases.info.nih.gov/diseases/10803/lamellar-ichthyosis.</w:t>
      </w:r>
      <w:r w:rsidRPr="00912DF8" w:rsidDel="00C82F9A">
        <w:rPr>
          <w:lang w:val="sv-SE"/>
        </w:rPr>
        <w:t xml:space="preserve"> </w:t>
      </w:r>
      <w:bookmarkEnd w:id="24"/>
      <w:r w:rsidRPr="0079106C">
        <w:t>Accessed July 3, 2024.</w:t>
      </w:r>
    </w:p>
    <w:p w14:paraId="5A46F3A1" w14:textId="474480A4" w:rsidR="0079106C" w:rsidRPr="0079106C" w:rsidRDefault="0079106C" w:rsidP="0079106C">
      <w:pPr>
        <w:pStyle w:val="ReferenceOrdered"/>
      </w:pPr>
      <w:r w:rsidRPr="0079106C">
        <w:t>NIH National Center for Advancing Translational Sciences. Genetic and Rare Diseases Information Center.</w:t>
      </w:r>
      <w:r w:rsidR="00296EE9">
        <w:t xml:space="preserve"> </w:t>
      </w:r>
      <w:r w:rsidRPr="0079106C">
        <w:t>Pityriasis rubra pilaris. https://rarediseases.info.nih.gov/diseases/7401/pityriasis-rubra-pilaris. Accessed July 3, 2024.</w:t>
      </w:r>
    </w:p>
    <w:p w14:paraId="6EFD5302" w14:textId="77777777" w:rsidR="0079106C" w:rsidRPr="0079106C" w:rsidRDefault="0079106C" w:rsidP="0079106C">
      <w:pPr>
        <w:pStyle w:val="ReferenceOrdered"/>
      </w:pPr>
      <w:r w:rsidRPr="0079106C">
        <w:t xml:space="preserve">Pityriasis Rubra Pilaris. American Osteopathic College of Dermatology. </w:t>
      </w:r>
      <w:bookmarkStart w:id="25" w:name="OLE_LINK17"/>
      <w:bookmarkStart w:id="26" w:name="OLE_LINK18"/>
      <w:r w:rsidRPr="0079106C">
        <w:t>http://www.aocd.org/?page=PityriasisRubraPil</w:t>
      </w:r>
      <w:bookmarkEnd w:id="25"/>
      <w:bookmarkEnd w:id="26"/>
      <w:r w:rsidRPr="0079106C">
        <w:t>. Accessed July 3, 2024.</w:t>
      </w:r>
    </w:p>
    <w:p w14:paraId="74B48E05" w14:textId="77777777" w:rsidR="00DF24CD" w:rsidRPr="00106A05" w:rsidRDefault="00DF24CD" w:rsidP="00106A05">
      <w:pPr>
        <w:pStyle w:val="BodyText"/>
      </w:pPr>
    </w:p>
    <w:sectPr w:rsidR="00DF24CD" w:rsidRPr="00106A05"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8FB94" w14:textId="77777777" w:rsidR="00997244" w:rsidRDefault="00997244">
      <w:r>
        <w:separator/>
      </w:r>
    </w:p>
  </w:endnote>
  <w:endnote w:type="continuationSeparator" w:id="0">
    <w:p w14:paraId="2822D255" w14:textId="77777777" w:rsidR="00997244" w:rsidRDefault="00997244">
      <w:r>
        <w:continuationSeparator/>
      </w:r>
    </w:p>
  </w:endnote>
  <w:endnote w:type="continuationNotice" w:id="1">
    <w:p w14:paraId="233EA55E" w14:textId="77777777" w:rsidR="00997244" w:rsidRDefault="009972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AA99204"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06A05" w:rsidRPr="00106A05">
      <w:rPr>
        <w:rFonts w:cs="Arial"/>
        <w:noProof/>
        <w:sz w:val="16"/>
        <w:szCs w:val="16"/>
      </w:rPr>
      <w:t>Isotretinoins</w:t>
    </w:r>
    <w:r w:rsidR="00106A05">
      <w:rPr>
        <w:rFonts w:cs="Arial"/>
        <w:noProof/>
        <w:snapToGrid w:val="0"/>
        <w:color w:val="000000"/>
        <w:sz w:val="16"/>
        <w:szCs w:val="16"/>
      </w:rPr>
      <w:t xml:space="preserve"> PA 118-A</w:t>
    </w:r>
    <w:r w:rsidR="00106A05" w:rsidRPr="00106A05">
      <w:rPr>
        <w:rFonts w:cs="Arial"/>
        <w:noProof/>
        <w:sz w:val="16"/>
        <w:szCs w:val="16"/>
      </w:rPr>
      <w:t xml:space="preserve"> </w:t>
    </w:r>
    <w:r w:rsidR="00313942">
      <w:rPr>
        <w:rFonts w:cs="Arial"/>
        <w:noProof/>
        <w:sz w:val="16"/>
        <w:szCs w:val="16"/>
      </w:rPr>
      <w:t>P</w:t>
    </w:r>
    <w:r w:rsidR="00106A05" w:rsidRPr="00106A05">
      <w:rPr>
        <w:rFonts w:cs="Arial"/>
        <w:noProof/>
        <w:sz w:val="16"/>
        <w:szCs w:val="16"/>
      </w:rPr>
      <w:t>08-2024</w:t>
    </w:r>
    <w:r w:rsidR="00106A05">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1BDC31C8" w14:textId="77777777" w:rsidR="00296EE9"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33CB724" w:rsidR="00F75C81" w:rsidRPr="00106A05" w:rsidRDefault="00C36B72" w:rsidP="00106A05">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3980BA6"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912DF8">
      <w:rPr>
        <w:rFonts w:cs="Arial"/>
        <w:noProof/>
        <w:snapToGrid w:val="0"/>
        <w:color w:val="000000"/>
        <w:sz w:val="16"/>
        <w:szCs w:val="16"/>
        <w:lang w:val="fr-FR"/>
      </w:rPr>
      <w:instrText xml:space="preserve"> FILENAME   \* MERGEFORMAT </w:instrText>
    </w:r>
    <w:r w:rsidRPr="00EC47B6">
      <w:rPr>
        <w:rFonts w:cs="Arial"/>
        <w:noProof/>
        <w:snapToGrid w:val="0"/>
        <w:color w:val="000000"/>
        <w:sz w:val="16"/>
        <w:szCs w:val="16"/>
        <w:lang w:val="pt-BR"/>
      </w:rPr>
      <w:fldChar w:fldCharType="separate"/>
    </w:r>
    <w:r w:rsidR="00E015D8" w:rsidRPr="00A96404">
      <w:rPr>
        <w:rFonts w:cs="Arial"/>
        <w:noProof/>
        <w:sz w:val="16"/>
        <w:szCs w:val="16"/>
        <w:lang w:val="fr-FR"/>
      </w:rPr>
      <w:t>Isotretinoins</w:t>
    </w:r>
    <w:r w:rsidR="00E015D8">
      <w:rPr>
        <w:rFonts w:cs="Arial"/>
        <w:noProof/>
        <w:snapToGrid w:val="0"/>
        <w:color w:val="000000"/>
        <w:sz w:val="16"/>
        <w:szCs w:val="16"/>
        <w:lang w:val="fr-FR"/>
      </w:rPr>
      <w:t xml:space="preserve"> PA 118-A</w:t>
    </w:r>
    <w:r w:rsidR="00E015D8" w:rsidRPr="00A96404">
      <w:rPr>
        <w:rFonts w:cs="Arial"/>
        <w:noProof/>
        <w:sz w:val="16"/>
        <w:szCs w:val="16"/>
        <w:lang w:val="fr-FR"/>
      </w:rPr>
      <w:t xml:space="preserve"> </w:t>
    </w:r>
    <w:r w:rsidR="00313942">
      <w:rPr>
        <w:rFonts w:cs="Arial"/>
        <w:noProof/>
        <w:sz w:val="16"/>
        <w:szCs w:val="16"/>
        <w:lang w:val="fr-FR"/>
      </w:rPr>
      <w:t>P</w:t>
    </w:r>
    <w:r w:rsidR="00E015D8" w:rsidRPr="00A96404">
      <w:rPr>
        <w:rFonts w:cs="Arial"/>
        <w:noProof/>
        <w:sz w:val="16"/>
        <w:szCs w:val="16"/>
        <w:lang w:val="fr-FR"/>
      </w:rPr>
      <w:t>08-2024</w:t>
    </w:r>
    <w:r w:rsidR="00E015D8">
      <w:rPr>
        <w:rFonts w:cs="Arial"/>
        <w:noProof/>
        <w:snapToGrid w:val="0"/>
        <w:color w:val="000000"/>
        <w:sz w:val="16"/>
        <w:szCs w:val="16"/>
        <w:lang w:val="fr-FR"/>
      </w:rPr>
      <w:t>_R.docx</w:t>
    </w:r>
    <w:r w:rsidRPr="00EC47B6">
      <w:rPr>
        <w:rFonts w:cs="Arial"/>
        <w:noProof/>
        <w:sz w:val="16"/>
        <w:szCs w:val="16"/>
      </w:rPr>
      <w:fldChar w:fldCharType="end"/>
    </w:r>
    <w:r w:rsidRPr="00912DF8">
      <w:rPr>
        <w:rFonts w:cs="Arial"/>
        <w:snapToGrid w:val="0"/>
        <w:color w:val="000000"/>
        <w:sz w:val="16"/>
        <w:lang w:val="fr-FR"/>
      </w:rPr>
      <w:tab/>
      <w:t>© 202</w:t>
    </w:r>
    <w:r w:rsidR="00D74279" w:rsidRPr="00912DF8">
      <w:rPr>
        <w:rFonts w:cs="Arial"/>
        <w:snapToGrid w:val="0"/>
        <w:color w:val="000000"/>
        <w:sz w:val="16"/>
        <w:lang w:val="fr-FR"/>
      </w:rPr>
      <w:t>4</w:t>
    </w:r>
    <w:r w:rsidRPr="00912DF8">
      <w:rPr>
        <w:rFonts w:cs="Arial"/>
        <w:snapToGrid w:val="0"/>
        <w:color w:val="000000"/>
        <w:sz w:val="16"/>
        <w:lang w:val="fr-FR"/>
      </w:rPr>
      <w:t xml:space="preserve"> CVS Caremark. </w:t>
    </w:r>
    <w:r w:rsidRPr="00EC47B6">
      <w:rPr>
        <w:rFonts w:cs="Arial"/>
        <w:snapToGrid w:val="0"/>
        <w:color w:val="000000"/>
        <w:sz w:val="16"/>
      </w:rPr>
      <w:t>All rights reserved.</w:t>
    </w:r>
  </w:p>
  <w:p w14:paraId="501B28A6" w14:textId="77777777" w:rsidR="00296EE9"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27CBCF3" w:rsidR="00ED04EC" w:rsidRPr="00F50D98" w:rsidRDefault="00F50D98" w:rsidP="00A9640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218FC" w14:textId="77777777" w:rsidR="00997244" w:rsidRDefault="00997244">
      <w:r>
        <w:separator/>
      </w:r>
    </w:p>
  </w:footnote>
  <w:footnote w:type="continuationSeparator" w:id="0">
    <w:p w14:paraId="6D0F5D2E" w14:textId="77777777" w:rsidR="00997244" w:rsidRDefault="00997244">
      <w:r>
        <w:continuationSeparator/>
      </w:r>
    </w:p>
  </w:footnote>
  <w:footnote w:type="continuationNotice" w:id="1">
    <w:p w14:paraId="405F82BD" w14:textId="77777777" w:rsidR="00997244" w:rsidRDefault="009972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D02144">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4ED37AA9" w:rsidR="00ED04EC" w:rsidRPr="004C7F1D" w:rsidRDefault="00103CAD" w:rsidP="00D02144">
          <w:pPr>
            <w:pStyle w:val="RefTableData"/>
          </w:pPr>
          <w:r w:rsidRPr="00103CAD">
            <w:t>118-A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25613"/>
    <w:multiLevelType w:val="singleLevel"/>
    <w:tmpl w:val="A3A22EFC"/>
    <w:lvl w:ilvl="0">
      <w:start w:val="1"/>
      <w:numFmt w:val="decimal"/>
      <w:lvlText w:val="%1. "/>
      <w:legacy w:legacy="1" w:legacySpace="0" w:legacyIndent="360"/>
      <w:lvlJc w:val="left"/>
      <w:pPr>
        <w:ind w:left="360" w:hanging="360"/>
      </w:pPr>
      <w:rPr>
        <w:rFonts w:ascii="Arial" w:hAnsi="Arial" w:hint="default"/>
        <w:b w:val="0"/>
        <w:i w:val="0"/>
        <w:sz w:val="20"/>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8CF6F9D"/>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D9A20C3"/>
    <w:multiLevelType w:val="hybridMultilevel"/>
    <w:tmpl w:val="FC6C4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8955C2"/>
    <w:multiLevelType w:val="hybridMultilevel"/>
    <w:tmpl w:val="E1340F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6D0782"/>
    <w:multiLevelType w:val="hybridMultilevel"/>
    <w:tmpl w:val="90D85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7"/>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9"/>
  </w:num>
  <w:num w:numId="17" w16cid:durableId="2128498676">
    <w:abstractNumId w:val="30"/>
  </w:num>
  <w:num w:numId="18" w16cid:durableId="299724409">
    <w:abstractNumId w:val="24"/>
  </w:num>
  <w:num w:numId="19" w16cid:durableId="214585573">
    <w:abstractNumId w:val="15"/>
  </w:num>
  <w:num w:numId="20" w16cid:durableId="1289816170">
    <w:abstractNumId w:val="16"/>
  </w:num>
  <w:num w:numId="21" w16cid:durableId="1066490929">
    <w:abstractNumId w:val="31"/>
  </w:num>
  <w:num w:numId="22" w16cid:durableId="1472481103">
    <w:abstractNumId w:val="26"/>
  </w:num>
  <w:num w:numId="23" w16cid:durableId="1997420403">
    <w:abstractNumId w:val="28"/>
  </w:num>
  <w:num w:numId="24" w16cid:durableId="33312838">
    <w:abstractNumId w:val="25"/>
  </w:num>
  <w:num w:numId="25" w16cid:durableId="507404939">
    <w:abstractNumId w:val="18"/>
  </w:num>
  <w:num w:numId="26" w16cid:durableId="1950313333">
    <w:abstractNumId w:val="21"/>
  </w:num>
  <w:num w:numId="27" w16cid:durableId="1866016584">
    <w:abstractNumId w:val="20"/>
  </w:num>
  <w:num w:numId="28" w16cid:durableId="1971860020">
    <w:abstractNumId w:val="23"/>
  </w:num>
  <w:num w:numId="29" w16cid:durableId="100272414">
    <w:abstractNumId w:val="29"/>
  </w:num>
  <w:num w:numId="30" w16cid:durableId="1025517348">
    <w:abstractNumId w:val="17"/>
  </w:num>
  <w:num w:numId="31" w16cid:durableId="183053911">
    <w:abstractNumId w:val="10"/>
  </w:num>
  <w:num w:numId="32" w16cid:durableId="792097662">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5F98"/>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AC0"/>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CAD"/>
    <w:rsid w:val="00103E4B"/>
    <w:rsid w:val="00103E71"/>
    <w:rsid w:val="00104849"/>
    <w:rsid w:val="0010527A"/>
    <w:rsid w:val="001054B4"/>
    <w:rsid w:val="00105956"/>
    <w:rsid w:val="00106A05"/>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6857"/>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2D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86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0CC"/>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B5C"/>
    <w:rsid w:val="00292E08"/>
    <w:rsid w:val="00293003"/>
    <w:rsid w:val="00293574"/>
    <w:rsid w:val="00294324"/>
    <w:rsid w:val="002946D4"/>
    <w:rsid w:val="002947C0"/>
    <w:rsid w:val="002965CE"/>
    <w:rsid w:val="00296EC3"/>
    <w:rsid w:val="00296EE9"/>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2830"/>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942"/>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1DBB"/>
    <w:rsid w:val="003524E5"/>
    <w:rsid w:val="00352959"/>
    <w:rsid w:val="00352B5E"/>
    <w:rsid w:val="00352BC7"/>
    <w:rsid w:val="003543BE"/>
    <w:rsid w:val="00354AE7"/>
    <w:rsid w:val="00354CFD"/>
    <w:rsid w:val="00355509"/>
    <w:rsid w:val="00355DCF"/>
    <w:rsid w:val="003569BC"/>
    <w:rsid w:val="003608FE"/>
    <w:rsid w:val="003609F7"/>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0A2"/>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1EB4"/>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904"/>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2F31"/>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112F"/>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3DA2"/>
    <w:rsid w:val="00554C8D"/>
    <w:rsid w:val="005553FE"/>
    <w:rsid w:val="005555FB"/>
    <w:rsid w:val="00556A6F"/>
    <w:rsid w:val="0055710E"/>
    <w:rsid w:val="00557844"/>
    <w:rsid w:val="00557F8C"/>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A18"/>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0FF6"/>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0BF"/>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8F4"/>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06C"/>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7F6A94"/>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879"/>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2DF8"/>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24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10B"/>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65A"/>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404"/>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87FCD"/>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3E7"/>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795"/>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10E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9B2"/>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65F"/>
    <w:rsid w:val="00D01DB8"/>
    <w:rsid w:val="00D02144"/>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CDB"/>
    <w:rsid w:val="00D15D65"/>
    <w:rsid w:val="00D162A4"/>
    <w:rsid w:val="00D16D32"/>
    <w:rsid w:val="00D178CA"/>
    <w:rsid w:val="00D17BE1"/>
    <w:rsid w:val="00D20446"/>
    <w:rsid w:val="00D20EFA"/>
    <w:rsid w:val="00D2121B"/>
    <w:rsid w:val="00D215BF"/>
    <w:rsid w:val="00D21D0C"/>
    <w:rsid w:val="00D2332E"/>
    <w:rsid w:val="00D23C68"/>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24CD"/>
    <w:rsid w:val="00DF5638"/>
    <w:rsid w:val="00DF5C9E"/>
    <w:rsid w:val="00DF63C8"/>
    <w:rsid w:val="00DF64CA"/>
    <w:rsid w:val="00DF6C92"/>
    <w:rsid w:val="00DF7FFE"/>
    <w:rsid w:val="00E00661"/>
    <w:rsid w:val="00E015D8"/>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7C"/>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30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43D2"/>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07CCE3A8-42D1-4173-B0AD-517A966B5316}"/>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f12d986e-a3b2-47c4-a5f7-26efe88ca3fd"/>
    <ds:schemaRef ds:uri="59666d2b-6805-40f4-84c3-41e8a53a80d4"/>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1146</Words>
  <Characters>6535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Isotretinoins PA 118-A UDR 08-2024</vt:lpstr>
    </vt:vector>
  </TitlesOfParts>
  <Company>PCS Health Systems</Company>
  <LinksUpToDate>false</LinksUpToDate>
  <CharactersWithSpaces>7666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Isotretinoins PA 118-A UDR 08-2024</dc:title>
  <dc:subject/>
  <dc:creator>CVS Caremark</dc:creator>
  <cp:keywords/>
  <cp:lastModifiedBy>Zalac, Nicole</cp:lastModifiedBy>
  <cp:revision>8</cp:revision>
  <cp:lastPrinted>2018-01-09T11:01:00Z</cp:lastPrinted>
  <dcterms:created xsi:type="dcterms:W3CDTF">2024-10-30T15:34:00Z</dcterms:created>
  <dcterms:modified xsi:type="dcterms:W3CDTF">2025-07-29T13:13:00Z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1763300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